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ET COULEUR</w:t>
      </w:r>
    </w:p>
    <w:p w:rsidR="00E47813" w:rsidP="00901CEA" w:rsidRDefault="00094E90" w14:paraId="2ECC4485" w14:textId="1F14E6AC">
      <w:pPr>
        <w:spacing w:before="5" w:line="264" w:lineRule="auto"/>
        <w:ind w:left="464" w:right="602"/>
        <w:rPr>
          <w:sz w:val="16"/>
        </w:rPr>
      </w:pPr>
      <w:r>
        <w:rPr>
          <w:noProof/>
          <w:color w:val="111111"/>
          <w:sz w:val="16"/>
        </w:rPr>
        <w:t>La maçonnerie décorative (intérieure et/ou extérieure) est effectuée avec des briques de parement sablées avec frog et une structure lisse sans nervure.La teinte est jaune dans la masse.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 MATIÈRES PREMIÈRES, PRODUCTION ET VUES</w:t>
      </w:r>
    </w:p>
    <w:p w:rsidR="00E47813" w:rsidP="00901CEA" w:rsidRDefault="00094E90" w14:paraId="63F168BE" w14:textId="0991ECCE">
      <w:pPr>
        <w:spacing w:before="5" w:line="264" w:lineRule="auto"/>
        <w:ind w:left="464" w:right="463"/>
        <w:rPr>
          <w:sz w:val="16"/>
        </w:rPr>
      </w:pPr>
      <w:r>
        <w:rPr>
          <w:noProof/>
          <w:color w:val="111111"/>
          <w:sz w:val="16"/>
        </w:rPr>
        <w:t>La brique est une brique moulée à la presse avec frog et avec une structure légère. Elle est libre de nodules de chaux ou autres. Elle présente au moins une boutisse et une panneresse sans fissure ou défaut qui serait nuisible à l’aspect global de la maçonnerie. Ce produit entièrement naturel est fabriqué avec de l’argile alluviale du quaternaire provenant de la vallée de l’Escaut. La brique est formée dans un moule sablé en insérant un bloc d’argile qui est cuit à une température de 1150°</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briques de parement bénéficient des labels « CE » et « Benor » et présentent les caractéristiques suivantes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*215x101x64 mm</w:t>
            </w:r>
          </w:p>
        </w:tc>
        <w:tc>
          <w:p>
            <w:r>
              <w:rPr>
                <w:sz w:val="14"/>
                <w:rFonts w:ascii="Myriad Pro Light"/>
                <w:tcPr>
                  <w:vAlign w:val="center"/>
                </w:tcPr>
              </w:rPr>
              <w:t>sur demande pour projets &gt; 2500 m²</w:t>
            </w:r>
          </w:p>
        </w:tc>
      </w:tr>
      <w:tr>
        <w:tc>
          <w:p>
            <w:r>
              <w:rPr>
                <w:sz w:val="14"/>
                <w:rFonts w:ascii="Myriad Pro Light"/>
                <w:tcPr>
                  <w:vAlign w:val="center"/>
                </w:tcPr>
              </w:rPr>
              <w:t>Quantité / m² avec un joint traditionnel</w:t>
            </w:r>
          </w:p>
        </w:tc>
        <w:tc>
          <w:p>
            <w:r>
              <w:rPr>
                <w:sz w:val="14"/>
                <w:rFonts w:ascii="Myriad Pro Light"/>
                <w:tcPr>
                  <w:vAlign w:val="center"/>
                </w:tcPr>
              </w:rPr>
              <w:t>ca. 57 (12 mm) </w:t>
            </w:r>
          </w:p>
        </w:tc>
        <w:tc>
          <w:p>
            <w:r>
              <w:rPr>
                <w:sz w:val="14"/>
                <w:rFonts w:ascii="Myriad Pro Light"/>
                <w:tcPr>
                  <w:vAlign w:val="center"/>
                </w:tcPr>
              </w:rPr>
              <w:t/>
            </w:r>
          </w:p>
        </w:tc>
      </w:tr>
      <w:tr>
        <w:tc>
          <w:p>
            <w:r>
              <w:rPr>
                <w:sz w:val="14"/>
                <w:rFonts w:ascii="Myriad Pro Light"/>
                <w:tcPr>
                  <w:vAlign w:val="center"/>
                </w:tcPr>
              </w:rPr>
              <w:t>Tolérance de taille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Taille écartée</w:t>
            </w:r>
          </w:p>
        </w:tc>
        <w:tc>
          <w:p>
            <w:r>
              <w:rPr>
                <w:sz w:val="14"/>
                <w:rFonts w:ascii="Myriad Pro Light"/>
                <w:tcPr>
                  <w:vAlign w:val="center"/>
                </w:tcPr>
              </w:rPr>
              <w:t>Rm (12/6/4) </w:t>
            </w:r>
          </w:p>
        </w:tc>
        <w:tc>
          <w:p>
            <w:r>
              <w:rPr>
                <w:sz w:val="14"/>
                <w:rFonts w:ascii="Myriad Pro Light"/>
                <w:tcPr>
                  <w:vAlign w:val="center"/>
                </w:tcPr>
              </w:rPr>
              <w:t/>
            </w:r>
          </w:p>
        </w:tc>
      </w:tr>
      <w:tr>
        <w:tc>
          <w:p>
            <w:r>
              <w:rPr>
                <w:sz w:val="14"/>
                <w:rFonts w:ascii="Myriad Pro Light"/>
                <w:tcPr>
                  <w:vAlign w:val="center"/>
                </w:tcPr>
              </w:rPr>
              <w:t>Masse volumique brute</w:t>
            </w:r>
          </w:p>
        </w:tc>
        <w:tc>
          <w:p>
            <w:r>
              <w:rPr>
                <w:sz w:val="14"/>
                <w:rFonts w:ascii="Myriad Pro Light"/>
                <w:tcPr>
                  <w:vAlign w:val="center"/>
                </w:tcPr>
              </w:rPr>
              <w:t>1725 kg/m³ (+/- 20 %) </w:t>
            </w:r>
          </w:p>
        </w:tc>
        <w:tc>
          <w:p>
            <w:r>
              <w:rPr>
                <w:sz w:val="14"/>
                <w:rFonts w:ascii="Myriad Pro Light"/>
                <w:tcPr>
                  <w:vAlign w:val="center"/>
                </w:tcPr>
              </w:rPr>
              <w:t/>
            </w:r>
          </w:p>
        </w:tc>
      </w:tr>
      <w:tr>
        <w:tc>
          <w:p>
            <w:r>
              <w:rPr>
                <w:sz w:val="14"/>
                <w:rFonts w:ascii="Myriad Pro Light"/>
                <w:tcPr>
                  <w:vAlign w:val="center"/>
                </w:tcPr>
              </w:rPr>
              <w:t>Résistance à la compression normalisée moyenne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Absorption d'eau (24 heures)</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Absorption d'eau initiale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Perméabilité à la vapeur d'eau</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Propriétés thermiques (λ10, sec, 90/90)</w:t>
            </w:r>
          </w:p>
        </w:tc>
        <w:tc>
          <w:p>
            <w:r>
              <w:rPr>
                <w:sz w:val="14"/>
                <w:rFonts w:ascii="Myriad Pro Light"/>
                <w:tcPr>
                  <w:vAlign w:val="center"/>
                </w:tcPr>
              </w:rPr>
              <w:t> 0,54 W/mK  (tableau 1 EN1745) </w:t>
            </w:r>
          </w:p>
        </w:tc>
        <w:tc>
          <w:p>
            <w:r>
              <w:rPr>
                <w:sz w:val="14"/>
                <w:rFonts w:ascii="Myriad Pro Light"/>
                <w:tcPr>
                  <w:vAlign w:val="center"/>
                </w:tcPr>
              </w:rPr>
              <w:t/>
            </w:r>
          </w:p>
        </w:tc>
      </w:tr>
      <w:tr>
        <w:tc>
          <w:p>
            <w:r>
              <w:rPr>
                <w:sz w:val="14"/>
                <w:rFonts w:ascii="Myriad Pro Light"/>
                <w:tcPr>
                  <w:vAlign w:val="center"/>
                </w:tcPr>
              </w:rPr>
              <w:t>Durabilité (gel / dégel / résistance)</w:t>
            </w:r>
          </w:p>
        </w:tc>
        <w:tc>
          <w:p>
            <w:r>
              <w:rPr>
                <w:sz w:val="14"/>
                <w:rFonts w:ascii="Myriad Pro Light"/>
                <w:tcPr>
                  <w:vAlign w:val="center"/>
                </w:tcPr>
              </w:rPr>
              <w:t> F2</w:t>
            </w:r>
          </w:p>
        </w:tc>
        <w:tc>
          <w:p>
            <w:r>
              <w:rPr>
                <w:sz w:val="14"/>
                <w:rFonts w:ascii="Myriad Pro Light"/>
                <w:tcPr>
                  <w:vAlign w:val="center"/>
                </w:tcPr>
              </w:rPr>
              <w:t/>
            </w:r>
          </w:p>
        </w:tc>
      </w:tr>
      <w:tr>
        <w:tc>
          <w:p>
            <w:r>
              <w:rPr>
                <w:sz w:val="14"/>
                <w:rFonts w:ascii="Myriad Pro Light"/>
                <w:tcPr>
                  <w:vAlign w:val="center"/>
                </w:tcPr>
              </w:rPr>
              <w:t>Sels activement solubles</w:t>
            </w:r>
          </w:p>
        </w:tc>
        <w:tc>
          <w:p>
            <w:r>
              <w:rPr>
                <w:sz w:val="14"/>
                <w:rFonts w:ascii="Myriad Pro Light"/>
                <w:tcPr>
                  <w:vAlign w:val="center"/>
                </w:tcPr>
              </w:rPr>
              <w:t>Classe S2 </w:t>
            </w:r>
          </w:p>
        </w:tc>
        <w:tc>
          <w:p>
            <w:r>
              <w:rPr>
                <w:sz w:val="14"/>
                <w:rFonts w:ascii="Myriad Pro Light"/>
                <w:tcPr>
                  <w:vAlign w:val="center"/>
                </w:tcPr>
              </w:rPr>
              <w:t/>
            </w:r>
          </w:p>
        </w:tc>
      </w:tr>
      <w:tr>
        <w:tc>
          <w:p>
            <w:r>
              <w:rPr>
                <w:sz w:val="14"/>
                <w:rFonts w:ascii="Myriad Pro Light"/>
                <w:tcPr>
                  <w:vAlign w:val="center"/>
                </w:tcPr>
              </w:rPr>
              <w:t>Réaction au feu</w:t>
            </w:r>
          </w:p>
        </w:tc>
        <w:tc>
          <w:p>
            <w:r>
              <w:rPr>
                <w:sz w:val="14"/>
                <w:rFonts w:ascii="Myriad Pro Light"/>
                <w:tcPr>
                  <w:vAlign w:val="center"/>
                </w:tcPr>
              </w:rPr>
              <w:t>Classe A1 </w:t>
            </w:r>
          </w:p>
        </w:tc>
        <w:tc>
          <w:p>
            <w:r>
              <w:rPr>
                <w:sz w:val="14"/>
                <w:rFonts w:ascii="Myriad Pro Light"/>
                <w:tcPr>
                  <w:vAlign w:val="center"/>
                </w:tcPr>
              </w:rPr>
              <w:t/>
            </w:r>
          </w:p>
        </w:tc>
      </w:tr>
      <w:tr>
        <w:tc>
          <w:p>
            <w:r>
              <w:rPr>
                <w:sz w:val="14"/>
                <w:rFonts w:ascii="Myriad Pro Light"/>
                <w:tcPr>
                  <w:vAlign w:val="center"/>
                </w:tcPr>
              </w:rPr>
              <w:t>Force de liaison (conformément à l'annexe C de la norme EN998-2: 2003)</w:t>
            </w:r>
          </w:p>
        </w:tc>
        <w:tc>
          <w:p>
            <w:r>
              <w:rPr>
                <w:sz w:val="14"/>
                <w:rFonts w:ascii="Myriad Pro Light"/>
                <w:tcPr>
                  <w:vAlign w:val="center"/>
                </w:tcPr>
              </w:rPr>
              <w:t>NPD (performance non déterminée)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selon le PTV 23-002 (propriétés supplémentaires requises pour la Belgique)</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Fleurs</w:t>
            </w:r>
          </w:p>
        </w:tc>
        <w:tc>
          <w:p>
            <w:r>
              <w:rPr>
                <w:sz w:val="14"/>
                <w:rFonts w:ascii="Myriad Pro Light"/>
                <w:tcPr>
                  <w:vAlign w:val="center"/>
                  <w:tcW w:w="9060" w:type="dxa"/>
                </w:tcPr>
              </w:rPr>
              <w:t>pas d’efflorescence (selon NBN B24-209) </w:t>
            </w:r>
          </w:p>
        </w:tc>
      </w:tr>
      <w:tr>
        <w:tc>
          <w:p>
            <w:r>
              <w:rPr>
                <w:sz w:val="14"/>
                <w:rFonts w:ascii="Myriad Pro Light"/>
                <w:tcPr>
                  <w:vAlign w:val="center"/>
                  <w:tcW w:w="1700" w:type="dxa"/>
                </w:tcPr>
              </w:rPr>
              <w:t>résistance au gel</w:t>
            </w:r>
          </w:p>
        </w:tc>
        <w:tc>
          <w:p>
            <w:r>
              <w:rPr>
                <w:sz w:val="14"/>
                <w:rFonts w:ascii="Myriad Pro Light"/>
                <w:tcPr>
                  <w:vAlign w:val="center"/>
                  <w:tcW w:w="9060" w:type="dxa"/>
                </w:tcPr>
              </w:rPr>
              <w:t>F2 (selon EN 772-22)</w:t>
            </w:r>
          </w:p>
        </w:tc>
      </w:tr>
      <w:tr>
        <w:tc>
          <w:p>
            <w:r>
              <w:rPr>
                <w:sz w:val="14"/>
                <w:rFonts w:ascii="Myriad Pro Light"/>
                <w:tcPr>
                  <w:vAlign w:val="center"/>
                  <w:tcW w:w="1700" w:type="dxa"/>
                </w:tcPr>
              </w:rPr>
              <w:t>Caractéristiques</w:t>
            </w:r>
          </w:p>
        </w:tc>
        <w:tc>
          <w:p>
            <w:r>
              <w:rPr>
                <w:sz w:val="14"/>
                <w:rFonts w:ascii="Myriad Pro Light"/>
                <w:tcPr>
                  <w:vAlign w:val="center"/>
                  <w:tcW w:w="9060" w:type="dxa"/>
                </w:tcPr>
              </w:rPr>
              <w:t>On considère dans le cas de briques destinées à la maçonnerie apparente que dans minimum 90% de la fourniture, au moins une panneresse et une boutisse ne présentent aucun dégât. Le nombre de briques avec défaut ne peut dépasser les 5%. Sont considérés comme défaut; la présence d’inclusions qui, par gonflement, pourrait provoquer des éclats dans la surface de la brique,  des fissures ayant une largeur = 0.2 mm reliant au moins deux arêtes. Tout dégât et défaut doivent toujours être signalés avant la mise en œuvre.</w:t>
            </w:r>
          </w:p>
        </w:tc>
      </w:tr>
    </w:tbl>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MISE EN OEUVRE</w:t>
      </w:r>
    </w:p>
    <w:p w:rsidR="005C795D" w:rsidP="005C795D" w:rsidRDefault="005C795D" w14:paraId="34B27BA9" w14:textId="13CF925E">
      <w:pPr>
        <w:spacing w:before="5" w:line="264" w:lineRule="auto"/>
        <w:ind w:left="464" w:right="602"/>
        <w:rPr>
          <w:sz w:val="16"/>
        </w:rPr>
      </w:pPr>
      <w:r>
        <w:rPr>
          <w:noProof/>
          <w:sz w:val="16"/>
        </w:rPr>
        <w:t>Mélangez simultanément 5 palettes. Enlevez les briques verticalement de chaque pile. La condition de la bonne composition du mortier a lieu en consultation avec le fournisseur du mortier. La maçonnerie fraîche doit être protégée à l’aide d’une couche imperméable.</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peuvent varier en fonction des productions. Pour la version la plus actuelle voir sur www.vandemoortel.be. Ce document n’est pas contractuel, il annule et remplace les précédents. Le fabriquant se réserve le droit de modifier la gamme de produits ou les caractéristiques des produits.  L’utilisateur doit s’assurer d’être en possession de la dernière version du texte descriptif.</w:t>
        <w:br/>
        <w:t>&lt;br&gt; &lt;br&gt;</w:t>
        <w:br/>
        <w:t>On considère dans le cas de briques destinées à la maçonnerie apparente que dans minimum 90% de la fourniture, au moins une panneresse et une boutisse ne présentent aucun dégât. Le nombre de briques avec défaut ne peut dépasser les 5%. Sont considérés comme défaut; la présence d’inclusions qui, par gonflement, pourrait provoquer des éclats dans la surface de la brique,  des fissures ayant une largeur = 0.2 mm reliant au moins deux arêtes. Tout dégât et défaut doivent toujours être signalés avant la mise en œuvre.</w:t>
        <w:br/>
        <w:t>&lt;br&gt; &lt;br&gt;</w:t>
        <w:br/>
        <w:t>Nos briques de parement ont été développées et produites pour une maçonnerie apparente sans finition supplémentaire.</w:t>
        <w:br/>
        <w:t>Si toutefois un traitement complémentaire devait être choisi, tel que la peinture, le badigeonnage, un enduit (mortier ‘Chipperfield’ ou autre), l'hydrophobisation ou toute autre application similaire, celui-ci sera effectué aux risques et périls du transformateur et/ou du donneur d'ordre.</w:t>
        <w:br/>
        <w:t>Avant tout traitement de ce type, un essai doit toujours être effectué sur le chantier ou sur un échantillon représentatif afin d'évaluer l'adéquation et le résultat esthétique de l'application.</w:t>
        <w:br/>
        <w:t>Les éventuelles conséquences négatives, y compris (mais sans s'y limiter) les variations de couleur, les problèmes d'adhérence, les défauts esthétiques, les dommages ou les réclamations ultérieures résultant de ces traitements complémentaires, ne sont pas couvertes par les spécifications du produit et les conditions de garantie de Briqueterie Vande Moortel et ne peuvent donc pas nous être imputées.</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CREA 1018</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11-09-2026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BRIQUES DE PAREMENT</w:t>
                          </w:r>
                        </w:p>
                        <w:p w:rsidR="00E47813" w:rsidP="00F25199" w:rsidRDefault="00F25199" w14:paraId="5307D23C" w14:textId="65506BBA">
                          <w:pPr>
                            <w:spacing w:before="9"/>
                            <w:ind w:left="340"/>
                            <w:rPr>
                              <w:sz w:val="18"/>
                            </w:rPr>
                          </w:pPr>
                          <w:r>
                            <w:rPr>
                              <w:noProof/>
                              <w:color w:val="FFFFFF"/>
                              <w:sz w:val="18"/>
                            </w:rPr>
                            <w:t>CATÉGORIE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