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(parement intérieur et/ou extérieur) est érigée en brique entière non-sablée moulée à la presse sans nervures avec une structure très inégale et brute. Quelques briques ont un aspect veldbrand très brut et surcuit à cause de la réduction naturelle au charbon. Quelques côtés visibles de la brique contiennent aussi des restants de charbon et des traces de la pose manuelle.La teinte est rose saumon chaud dans la masse.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bénéficient le label « CE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*247x116x38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90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0,65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résistance élevée au gel (selon NBN B27-009) </w:t>
            </w:r>
          </w:p>
        </w:tc>
      </w:tr>
    </w:tbl>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 2013</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