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(parement intérieur et/ou extérieur) est érigée en brique entière non-sablée moulée à la presse sans nervures avec une structure très inégale et brute. Quelques briques ont un aspect veldbrand très brut et surcuit à cause de la réduction naturelle au charbon. Quelques côtés visibles de la brique contiennent aussi des restants de charbon et des traces de la pose manuelle.La teinte est rouge corail à brun-rouge nuancée dans la masse.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*240x115x38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80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93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0,65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A62A4B" w14:paraId="4058AE3B" w14:textId="321DBCA2">
      <w:pPr>
        <w:pStyle w:val="Kop2"/>
        <w:spacing w:before="142"/>
      </w:pPr>
      <w:r>
        <w:rPr>
          <w:noProof/>
          <w:color w:val="111111"/>
          <w:w w:val="105"/>
        </w:rPr>
        <w:t>Benormerk selon le PTV 23-002 (propriétés supplémentaires requises pour la Belgique)</w:t>
      </w:r>
    </w:p>
    <w:p w:rsidR="00E47813" w:rsidRDefault="00E47813" w14:paraId="2520D54B" w14:textId="77777777">
      <w:pPr>
        <w:pStyle w:val="Plattetekst"/>
        <w:rPr>
          <w:rFonts w:ascii="Myriad Pro"/>
          <w:b/>
          <w:sz w:val="16"/>
        </w:rPr>
      </w:pP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benormerk"/>
      </w:tblPr>
      <w:tblGrid>
        <w:gridCol w:w="3965"/>
        <w:gridCol w:w="3965"/>
      </w:tblGrid>
      <w:tr>
        <w:tc>
          <w:p>
            <w:r>
              <w:rPr>
                <w:sz w:val="14"/>
                <w:rFonts w:ascii="Myriad Pro Light"/>
                <w:tcPr>
                  <w:vAlign w:val="center"/>
                  <w:tcW w:w="1700" w:type="dxa"/>
                </w:tcPr>
              </w:rPr>
              <w:t>Fleurs</w:t>
            </w:r>
          </w:p>
        </w:tc>
        <w:tc>
          <w:p>
            <w:r>
              <w:rPr>
                <w:sz w:val="14"/>
                <w:rFonts w:ascii="Myriad Pro Light"/>
                <w:tcPr>
                  <w:vAlign w:val="center"/>
                  <w:tcW w:w="9060" w:type="dxa"/>
                </w:tcPr>
              </w:rPr>
              <w:t>pas d’efflorescence (selon NBN B24-209) </w:t>
            </w:r>
          </w:p>
        </w:tc>
      </w:tr>
      <w:tr>
        <w:tc>
          <w:p>
            <w:r>
              <w:rPr>
                <w:sz w:val="14"/>
                <w:rFonts w:ascii="Myriad Pro Light"/>
                <w:tcPr>
                  <w:vAlign w:val="center"/>
                  <w:tcW w:w="1700" w:type="dxa"/>
                </w:tcPr>
              </w:rPr>
              <w:t>résistance au gel</w:t>
            </w:r>
          </w:p>
        </w:tc>
        <w:tc>
          <w:p>
            <w:r>
              <w:rPr>
                <w:sz w:val="14"/>
                <w:rFonts w:ascii="Myriad Pro Light"/>
                <w:tcPr>
                  <w:vAlign w:val="center"/>
                  <w:tcW w:w="9060" w:type="dxa"/>
                </w:tcPr>
              </w:rPr>
              <w:t>F2 (selon EN 772-22)</w:t>
            </w:r>
          </w:p>
        </w:tc>
      </w:tr>
    </w:tbl>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 3016</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