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manuelle.La couleur présente des nuances jaune safran à jaune beige jusque dans la masse.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*247x75x38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 0,54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4kg/(m².min) Classe IW3 (absorption normale)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1017</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