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est effectuée avec des briques de parement massives pas sablées avec une structure lisse et sans nervure. La teinte est gris clair dans la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non-sablé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 La brique est cuite pour une deuxième fois sous une atmosphère réduite.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bénéficient le label « CE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*245x75x38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91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12 %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&lt; 1,5 kg/(m² . min) IW2</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 0,60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7045</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