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sablées avec une structure lisse sans nervure.La teinte est rouge-violet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sur demande pour projets &gt; 2000m²</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&lt; 12%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