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est effectuée avec des briques de parement massives sablées avec une structure lisse sans nervure.La teinte est rouge-violet dans la masse.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*240x73x38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sur demande pour projets &gt; 2000m²</w:t>
            </w:r>
          </w:p>
        </w:tc>
      </w:tr>
      <w:tr>
        <w:tc>
          <w:p>
            <w:r>
              <w:rPr>
                <w:sz w:val="14"/>
                <w:rFonts w:ascii="Myriad Pro Light"/>
                <w:tcPr>
                  <w:vAlign w:val="center"/>
                </w:tcPr>
              </w:rPr>
              <w:t>Tolérance de taille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&gt; 30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&lt; 12%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 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