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non-sablée moulée à la presse sans nervures avec frog et une structure très inégale et brute. Quelques briques ont un aspect veldbrand très brut et surcuit à cause de la réduction naturelle au charbon. Quelques côtés visibles de la brique contiennent aussi des restants de charbon et des traces de la pose manuelle. La couleur en masse est rouge et allant de rouge, rouge-brun jusqu’au rouge-bleu.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non-sablé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*216x102x64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O</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