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non-sablée moulée à la presse sans nervures avec frog et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rouge et fort nuancée allant de rouge, rouge-brun jusqu’au bleu-violet.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avec frog et avec une structure légère. Elle est libre de nodules de chaux ou autres. Elle présente au moins une boutisse et une panneresse sans fissure ou défaut qui serait nuisible à l’aspect global de la maçonnerie. Ce produit entièrement naturel est fabriqué avec de l’argile alluviale du quaternaire provenant de la vallée de l’Escaut. La brique est formée dans un moule non-sablé en insérant un bloc d’argile qui est cuit à une température de 1150°.</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 très résistant au gel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 &lt; 4 kg/(m².min) Classe IW3 (absorption normal)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