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rouge et fort nuancée allant de rouge, rouge-brun jusqu’au bleu-vi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 très résistant au gel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 &lt; 4 kg/(m².min) Classe IW3 (absorption normal)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