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rouge et fort nuancée allant de rouge, rouge-brun jusqu’au bleu-viol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 très résistant au gel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 &lt; 4 kg/(m².min) Classe IW3 (absorption normal)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