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non-sablée moulée à la presse sans nervures avec frog et une structure très inégale et brute. Quelques briques ont un aspect veldbrand très brut et surcuit à cause de la réduction naturelle au charbon. Quelques côtés visibles de la brique contiennent aussi des restants de charbon et des traces de la pose manuelle. La couleur en masse est crème à écru. Les briques ont un aspect veldbrand irrégulier à cause de la réduction naturelle au charbon avec des nuances en couleur allant de brun clair à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La brique est une brique moulée à la presse avec frog et avec une structure légère. Elle est libre de nodules de chaux ou autres. Elle présente au moins une boutisse et une panneresse sans fissure ou défaut qui serait nuisible à l’aspect global de la maçonnerie. Ce produit entièrement naturel est fabriqué avec de l’argile alluviale du quaternaire provenant de la vallée de l’Escaut. La brique est formée dans un moule non-sablé en insérant un bloc d’argile qui est cuit à une température de 1150°.</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59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66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1,5  kg/(m² . min) Classe IW3 (absorption modérée)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J</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