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rouge et fort nuancée allant de rouge, rouge-brun jusqu’au bleu-violet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*220x70x54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74 (6 mm) </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 &lt; 4 kg/(m².min) Classe IW3 (absorption normal)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