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 La couleur en masse est crème à écru. Les briques ont un aspect veldbrand irrégulier à cause de la réduction naturelle au charbon avec des nuances en couleur allant de brun clair à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*227x74x55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63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71 (6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1,5  kg/(m² . min) Classe IW3 (absorption modérée)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J</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