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couleur en masse est pour la plupart gris.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 La brique est cuite pour une deuxième fois sous une atmosphère réduite.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*225x74x54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64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73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0,54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 kg/(m².min) Classe IW3 (absorption normale)</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