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est effectuée avec des briques de parement massives sablées avec une structure lisse sans nervure.La teinte est gris-beige dans la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77</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0,69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1,5 kg/(m².min) Classe IW2 (absorption modérée)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1019</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