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E26792" w14:paraId="4C130B36" w14:textId="45B25C26">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Le revêtement (ensemble constitué des pavés en terre cuite Grisage de Vande Moortel, jointoiement, du lit de pose, de la fondation et de l’éventuelle sous-fondation) possède une perméabilité de surface &gt; 5,4*10-5 m/s.</w:t>
      </w:r>
    </w:p>
    <w:p w:rsidR="00362EC5" w:rsidP="00362EC5" w:rsidRDefault="00362EC5" w14:paraId="198A92FA" w14:textId="433832DF">
      <w:pPr>
        <w:pStyle w:val="Kop1"/>
        <w:keepNext/>
        <w:keepLines/>
        <w:suppressAutoHyphens/>
        <w:spacing w:before="109"/>
        <w:ind w:left="0" w:firstLine="464"/>
      </w:pPr>
      <w:r>
        <w:rPr>
          <w:noProof/>
          <w:color w:val="111111"/>
        </w:rPr>
        <w:t>COULEUR</w:t>
      </w:r>
    </w:p>
    <w:p w:rsidR="00362EC5" w:rsidP="00362EC5" w:rsidRDefault="00362EC5" w14:paraId="74352F93" w14:textId="688F89EE">
      <w:pPr>
        <w:spacing w:before="5" w:line="264" w:lineRule="auto"/>
        <w:ind w:left="464" w:right="602"/>
        <w:rPr>
          <w:color w:val="111111"/>
          <w:sz w:val="16"/>
        </w:rPr>
      </w:pPr>
      <w:r>
        <w:rPr>
          <w:noProof/>
          <w:color w:val="111111"/>
          <w:sz w:val="16"/>
        </w:rPr>
        <w:t>Nuancée gris clair et gris foncé.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Description du produit</w:t>
      </w:r>
    </w:p>
    <w:p w:rsidR="00E47813" w:rsidP="00901CEA" w:rsidRDefault="00094E90" w14:paraId="63F168BE" w14:textId="7B04BEF8">
      <w:pPr>
        <w:spacing w:before="5" w:line="264" w:lineRule="auto"/>
        <w:ind w:left="464" w:right="463"/>
        <w:rPr>
          <w:color w:val="111111"/>
          <w:sz w:val="16"/>
        </w:rPr>
      </w:pPr>
      <w:r>
        <w:rPr>
          <w:noProof/>
          <w:color w:val="111111"/>
          <w:sz w:val="16"/>
        </w:rPr>
        <w:t>Les pavés en terre cuite sont moulés et pressés individuellement. La matière première des pavés en terre cuite est une argile alluviale du bassin de l’Escaut. La température de cuisson s’élève à environ 1180°C.  La forme est vieillie et légèrement irrégulière.  La brique est cuite pour une deuxième fois sous une atmosphère réduite.</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Méthode de pose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Les pavés se posent sur chant.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CARACTÉRISTIQUES TECHNIQUES</w:t>
      </w:r>
    </w:p>
    <w:p w:rsidRPr="00313819" w:rsidR="00EB6C33" w:rsidP="00901CEA" w:rsidRDefault="004D336A" w14:paraId="16D8BA1F" w14:textId="1EA82559">
      <w:pPr>
        <w:spacing w:before="122"/>
        <w:ind w:left="464"/>
        <w:rPr>
          <w:color w:val="111111"/>
          <w:sz w:val="16"/>
        </w:rPr>
      </w:pPr>
      <w:r>
        <w:rPr>
          <w:noProof/>
          <w:color w:val="111111"/>
          <w:sz w:val="16"/>
        </w:rPr>
        <w:t> Les pavés terre cuite d’origine belge, porteur du label CE et du label Benor, Classe A.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Marquage CE selon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Dimensions de fabrication (L xlxh)</w:t>
            </w:r>
          </w:p>
        </w:tc>
        <w:tc>
          <w:p>
            <w:r>
              <w:rPr>
                <w:sz w:val="14"/>
                <w:rFonts w:ascii="Myriad Pro Light"/>
                <w:tcPr>
                  <w:vAlign w:val="center"/>
                </w:tcPr>
              </w:rPr>
              <w:t>*212x51x104 mm</w:t>
            </w:r>
          </w:p>
        </w:tc>
        <w:tc>
          <w:p>
            <w:r>
              <w:rPr>
                <w:sz w:val="14"/>
                <w:rFonts w:ascii="Myriad Pro Light"/>
                <w:tcPr>
                  <w:vAlign w:val="center"/>
                </w:tcPr>
              </w:rPr>
              <w:t>sur demande pour projets &gt; 2000 m²</w:t>
            </w:r>
          </w:p>
        </w:tc>
      </w:tr>
      <w:tr>
        <w:tc>
          <w:p>
            <w:r>
              <w:rPr>
                <w:sz w:val="14"/>
                <w:rFonts w:ascii="Myriad Pro Light"/>
                <w:tcPr>
                  <w:vAlign w:val="center"/>
                </w:tcPr>
              </w:rPr>
              <w:t>Quantité / m² avec un joint traditionnel</w:t>
            </w:r>
          </w:p>
        </w:tc>
        <w:tc>
          <w:p>
            <w:r>
              <w:rPr>
                <w:sz w:val="14"/>
                <w:rFonts w:ascii="Myriad Pro Light"/>
                <w:tcPr>
                  <w:vAlign w:val="center"/>
                </w:tcPr>
              </w:rPr>
              <w:t>ca. 91</w:t>
            </w:r>
          </w:p>
        </w:tc>
        <w:tc>
          <w:p>
            <w:r>
              <w:rPr>
                <w:sz w:val="14"/>
                <w:rFonts w:ascii="Myriad Pro Light"/>
                <w:tcPr>
                  <w:vAlign w:val="center"/>
                </w:tcPr>
              </w:rPr>
              <w:t/>
            </w:r>
          </w:p>
        </w:tc>
      </w:tr>
      <w:tr>
        <w:tc>
          <w:p>
            <w:r>
              <w:rPr>
                <w:sz w:val="14"/>
                <w:rFonts w:ascii="Myriad Pro Light"/>
                <w:tcPr>
                  <w:vAlign w:val="center"/>
                </w:tcPr>
              </w:rPr>
              <w:t>Dimensions de fabrication (L xlxh)</w:t>
            </w:r>
          </w:p>
        </w:tc>
        <w:tc>
          <w:p>
            <w:r>
              <w:rPr>
                <w:sz w:val="14"/>
                <w:rFonts w:ascii="Myriad Pro Light"/>
                <w:tcPr>
                  <w:vAlign w:val="center"/>
                </w:tcPr>
              </w:rPr>
              <w:t>*212x69x104 mm</w:t>
            </w:r>
          </w:p>
        </w:tc>
        <w:tc>
          <w:p>
            <w:r>
              <w:rPr>
                <w:sz w:val="14"/>
                <w:rFonts w:ascii="Myriad Pro Light"/>
                <w:tcPr>
                  <w:vAlign w:val="center"/>
                </w:tcPr>
              </w:rPr>
              <w:t>sur demande pour projets &gt; 2000 m²</w:t>
            </w:r>
          </w:p>
        </w:tc>
      </w:tr>
      <w:tr>
        <w:tc>
          <w:p>
            <w:r>
              <w:rPr>
                <w:sz w:val="14"/>
                <w:rFonts w:ascii="Myriad Pro Light"/>
                <w:tcPr>
                  <w:vAlign w:val="center"/>
                </w:tcPr>
              </w:rPr>
              <w:t>Quantité / m² avec un joint traditionnel</w:t>
            </w:r>
          </w:p>
        </w:tc>
        <w:tc>
          <w:p>
            <w:r>
              <w:rPr>
                <w:sz w:val="14"/>
                <w:rFonts w:ascii="Myriad Pro Light"/>
                <w:tcPr>
                  <w:vAlign w:val="center"/>
                </w:tcPr>
              </w:rPr>
              <w:t>ca. 68</w:t>
            </w:r>
          </w:p>
        </w:tc>
        <w:tc>
          <w:p>
            <w:r>
              <w:rPr>
                <w:sz w:val="14"/>
                <w:rFonts w:ascii="Myriad Pro Light"/>
                <w:tcPr>
                  <w:vAlign w:val="center"/>
                </w:tcPr>
              </w:rPr>
              <w:t/>
            </w:r>
          </w:p>
        </w:tc>
      </w:tr>
    </w:tbl>
    <w:p w:rsidR="003517E3" w:rsidP="003517E3" w:rsidRDefault="003517E3" w14:paraId="5508B57D" w14:textId="77777777">
      <w:pPr>
        <w:pStyle w:val="Kop1"/>
      </w:pPr>
      <w:r>
        <w:rPr>
          <w:noProof/>
          <w:color w:val="111111"/>
        </w:rPr>
        <w:t>PROPRIÉTÉS PHYSIQUES ET MÉCANIQUES SELON LES NOTES ET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Carctéristiques</w:t>
            </w:r>
          </w:p>
        </w:tc>
        <w:tc>
          <w:p>
            <w:r>
              <w:rPr>
                <w:sz w:val="14"/>
                <w:rFonts w:ascii="Myriad Pro Light"/>
                <w:b/>
                <w:tcPr>
                  <w:vAlign w:val="center"/>
                </w:tcPr>
              </w:rPr>
              <w:t>Classe</w:t>
            </w:r>
          </w:p>
        </w:tc>
        <w:tc>
          <w:p>
            <w:r>
              <w:rPr>
                <w:sz w:val="14"/>
                <w:rFonts w:ascii="Myriad Pro Light"/>
                <w:b/>
                <w:tcPr>
                  <w:vAlign w:val="center"/>
                </w:tcPr>
              </w:rPr>
              <w:t>Moyenne</w:t>
            </w:r>
          </w:p>
        </w:tc>
        <w:tc>
          <w:p>
            <w:r>
              <w:rPr>
                <w:sz w:val="14"/>
                <w:rFonts w:ascii="Myriad Pro Light"/>
                <w:b/>
                <w:tcPr>
                  <w:vAlign w:val="center"/>
                </w:tcPr>
              </w:rPr>
              <w:t>Individuel</w:t>
            </w:r>
          </w:p>
        </w:tc>
      </w:tr>
      <w:tr>
        <w:tc>
          <w:p>
            <w:r>
              <w:rPr>
                <w:sz w:val="14"/>
                <w:rFonts w:ascii="Myriad Pro Light"/>
                <w:tcPr>
                  <w:vAlign w:val="center"/>
                </w:tcPr>
              </w:rPr>
              <w:t>Absorption d’eauNBN EN 771</w:t>
            </w:r>
          </w:p>
        </w:tc>
        <w:tc>
          <w:p>
            <w:r>
              <w:rPr>
                <w:sz w:val="14"/>
                <w:rFonts w:ascii="Myriad Pro Light"/>
                <w:tcPr>
                  <w:vAlign w:val="center"/>
                </w:tcPr>
              </w:rPr>
              <w:t>Classe 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Résistance à la flexion</w:t>
            </w:r>
          </w:p>
        </w:tc>
        <w:tc>
          <w:p>
            <w:r>
              <w:rPr>
                <w:sz w:val="14"/>
                <w:rFonts w:ascii="Myriad Pro Light"/>
                <w:tcPr>
                  <w:vAlign w:val="center"/>
                </w:tcPr>
              </w:rPr>
              <w:t>Classe 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Résistance à l’usure</w:t>
            </w:r>
          </w:p>
        </w:tc>
        <w:tc>
          <w:p>
            <w:r>
              <w:rPr>
                <w:sz w:val="14"/>
                <w:rFonts w:ascii="Myriad Pro Light"/>
                <w:tcPr>
                  <w:vAlign w:val="center"/>
                </w:tcPr>
              </w:rPr>
              <w:t>Classe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Résistance au gel</w:t>
            </w:r>
          </w:p>
        </w:tc>
        <w:tc>
          <w:p>
            <w:r>
              <w:rPr>
                <w:sz w:val="14"/>
                <w:rFonts w:ascii="Myriad Pro Light"/>
                <w:tcPr>
                  <w:vAlign w:val="center"/>
                </w:tcPr>
              </w:rPr>
              <w:t>Classe FP100</w:t>
            </w:r>
          </w:p>
        </w:tc>
        <w:tc>
          <w:p>
            <w:r>
              <w:rPr>
                <w:sz w:val="14"/>
                <w:rFonts w:ascii="Myriad Pro Light"/>
                <w:tcPr>
                  <w:vAlign w:val="center"/>
                </w:tcPr>
              </w:rPr>
              <w:t>répond aux exigences</w:t>
            </w:r>
          </w:p>
        </w:tc>
        <w:tc>
          <w:p>
            <w:r>
              <w:rPr>
                <w:sz w:val="14"/>
                <w:rFonts w:ascii="Myriad Pro Light"/>
                <w:tcPr>
                  <w:vAlign w:val="center"/>
                </w:tcPr>
              </w:rPr>
              <w:t>répond aux exigences</w:t>
            </w:r>
          </w:p>
        </w:tc>
      </w:tr>
      <w:tr>
        <w:tc>
          <w:p>
            <w:r>
              <w:rPr>
                <w:sz w:val="14"/>
                <w:rFonts w:ascii="Myriad Pro Light"/>
                <w:tcPr>
                  <w:vAlign w:val="center"/>
                </w:tcPr>
              </w:rPr>
              <w:t>Tolérances dimensionnelles</w:t>
            </w:r>
          </w:p>
        </w:tc>
        <w:tc>
          <w:p>
            <w:r>
              <w:rPr>
                <w:sz w:val="14"/>
                <w:rFonts w:ascii="Myriad Pro Light"/>
                <w:tcPr>
                  <w:vAlign w:val="center"/>
                </w:tcPr>
              </w:rPr>
              <w:t>Classe R1</w:t>
            </w:r>
          </w:p>
        </w:tc>
        <w:tc>
          <w:p>
            <w:r>
              <w:rPr>
                <w:sz w:val="14"/>
                <w:rFonts w:ascii="Myriad Pro Light"/>
                <w:tcPr>
                  <w:vAlign w:val="center"/>
                </w:tcPr>
              </w:rPr>
              <w:t>Max 0,4 √d</w:t>
            </w:r>
          </w:p>
        </w:tc>
        <w:tc>
          <w:p>
            <w:r>
              <w:rPr>
                <w:sz w:val="14"/>
                <w:rFonts w:ascii="Myriad Pro Light"/>
                <w:tcPr>
                  <w:vAlign w:val="center"/>
                </w:tcPr>
              </w:rPr>
              <w:t>Max 0,6 √d</w:t>
            </w:r>
          </w:p>
        </w:tc>
      </w:tr>
      <w:tr>
        <w:tc>
          <w:p>
            <w:r>
              <w:rPr>
                <w:sz w:val="14"/>
                <w:rFonts w:ascii="Myriad Pro Light"/>
                <w:tcPr>
                  <w:vAlign w:val="center"/>
                </w:tcPr>
              </w:rPr>
              <w:t>Résistance au glissement</w:t>
            </w:r>
          </w:p>
        </w:tc>
        <w:tc>
          <w:p>
            <w:r>
              <w:rPr>
                <w:sz w:val="14"/>
                <w:rFonts w:ascii="Myriad Pro Light"/>
                <w:tcPr>
                  <w:vAlign w:val="center"/>
                </w:tcPr>
              </w:rPr>
              <w:t>Classe 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Résistance aux acides</w:t>
            </w:r>
          </w:p>
        </w:tc>
        <w:tc>
          <w:p>
            <w:r>
              <w:rPr>
                <w:sz w:val="14"/>
                <w:rFonts w:ascii="Myriad Pro Light"/>
                <w:tcPr>
                  <w:vAlign w:val="center"/>
                </w:tcPr>
              </w:rPr>
              <w:t>Classe C</w:t>
            </w:r>
          </w:p>
        </w:tc>
        <w:tc>
          <w:p>
            <w:r>
              <w:rPr>
                <w:sz w:val="14"/>
                <w:rFonts w:ascii="Myriad Pro Light"/>
                <w:tcPr>
                  <w:vAlign w:val="center"/>
                </w:tcPr>
              </w:rPr>
              <w:t>&lt;7%</w:t>
            </w:r>
          </w:p>
        </w:tc>
        <w:tc>
          <w:p>
            <w:r>
              <w:rPr>
                <w:sz w:val="14"/>
                <w:rFonts w:ascii="Myriad Pro Light"/>
                <w:tcPr>
                  <w:vAlign w:val="center"/>
                </w:tcPr>
              </w:rPr>
              <w:t> </w:t>
            </w:r>
          </w:p>
        </w:tc>
      </w:tr>
    </w:tbl>
    <w:p w:rsidR="00852C38" w:rsidP="00852C38" w:rsidRDefault="00852C38" w14:paraId="0AB7BABA" w14:textId="49A8D9FB">
      <w:pPr>
        <w:pStyle w:val="Kop1"/>
        <w:keepNext/>
        <w:keepLines/>
        <w:suppressAutoHyphens/>
        <w:spacing w:before="109"/>
        <w:ind w:left="0" w:firstLine="464"/>
      </w:pPr>
      <w:r>
        <w:rPr>
          <w:noProof/>
          <w:color w:val="111111"/>
        </w:rPr>
        <w:t>POSE</w:t>
      </w:r>
    </w:p>
    <w:p w:rsidRPr="00420024" w:rsidR="00852C38" w:rsidP="00420024" w:rsidRDefault="00852C38" w14:paraId="518D61E9" w14:textId="6A41529C">
      <w:pPr>
        <w:spacing w:before="5" w:line="264" w:lineRule="auto"/>
        <w:ind w:left="464" w:right="602"/>
        <w:rPr>
          <w:color w:val="111111"/>
          <w:sz w:val="16"/>
        </w:rPr>
      </w:pPr>
      <w:r>
        <w:rPr>
          <w:noProof/>
          <w:color w:val="111111"/>
          <w:sz w:val="16"/>
        </w:rPr>
        <w:t>Les pavés en terre cuite sont posés sur chant. Pour un pavage perméable, la pente peut être limitée à 1 % afin de permettre l'infiltration. Les pavés en terre cuite sont posés librement les uns contre les autres avec un joint minimal (2 à 3 mm), occasionnellement avec un joint légèrement plus large afin de respecter l'appareillage.</w:t>
        <w:br/>
        <w:t/>
        <w:br/>
        <w:t>Avant le damage, les pavés sont ensablés avec un matériau perméable adapté ayant une perméabilité &gt; 5,4*10-5 m/s.</w:t>
        <w:br/>
        <w:t>Contrôlez au préalable la stabilité du filtre de ce sable par rappport au lit de pose. Ce sable est introduit entre les pavés jusqu'à ce que ceux-ci soient stables et serrés de sorte qu'ils ne puissent plus être pressés l'un contre l'autre lors du damage. Le damage se fait avec une semelle en caoutchouc sous la plaque vibrante pour éviter d'endommager les pavés. Après le damage, il convient d'étaler à nouveau du sable de jointoiement sur toute la surface et de brosser. Ce processus doit être répété jusqu'à ce que les joints soient complètement remplis pour que plus aucun pavé ne puisse bouger. Ce n’est qu’alors que le pavage est prêt pour la mise en service.</w:t>
      </w:r>
      <w:r w:rsidR="00461C91">
        <w:rPr>
          <w:color w:val="111111"/>
          <w:sz w:val="16"/>
        </w:rPr>
        <w:br/>
      </w:r>
    </w:p>
    <w:p w:rsidR="00852C38" w:rsidP="00852C38" w:rsidRDefault="00852C38" w14:paraId="37F21B42" w14:textId="2CCBF522">
      <w:pPr>
        <w:pStyle w:val="Kop1"/>
      </w:pPr>
      <w:r>
        <w:rPr>
          <w:noProof/>
          <w:color w:val="111111"/>
        </w:rPr>
        <w:t>APPLICABILITÉ</w:t>
      </w:r>
    </w:p>
    <w:p w:rsidR="00852C38" w:rsidP="00852C38" w:rsidRDefault="00852C38" w14:paraId="5E0C973B" w14:textId="670B082E">
      <w:pPr>
        <w:spacing w:before="5" w:line="264" w:lineRule="auto"/>
        <w:ind w:left="464" w:right="463"/>
        <w:rPr>
          <w:color w:val="111111"/>
          <w:sz w:val="16"/>
        </w:rPr>
      </w:pPr>
      <w:r>
        <w:rPr>
          <w:noProof/>
          <w:color w:val="111111"/>
          <w:sz w:val="16"/>
        </w:rPr>
        <w:t>L'utilisation de pavés en terre cuite perméables à l'eau est toutefois limitée aux catégories de trafic CRR II, III et IV. En pratique, cela représente un maximum de 100 camions (&gt;3,5 tonnes) et 5000 véhicules légers (&lt;3,5 tonnes) par jour. </w:t>
        <w:br/>
        <w:t>La largeur relativement étroite des joints permet de garder le revêtement facilement praticable et carrossable, avec un confort acoustique et de marche normal. </w:t>
        <w:br/>
        <w:t>Le pavé en terre cuite conserve également sa solidité habituelle et sa résistance aux acides et aux sels de déneigement.</w:t>
      </w:r>
      <w:r w:rsidR="00461C91">
        <w:rPr>
          <w:color w:val="111111"/>
          <w:sz w:val="16"/>
        </w:rPr>
        <w:br/>
      </w:r>
    </w:p>
    <w:p w:rsidRPr="002F4419" w:rsidR="001E77DB" w:rsidP="002F4419" w:rsidRDefault="00420024" w14:paraId="1D9DAF69" w14:textId="30DED28D">
      <w:pPr>
        <w:pStyle w:val="Kop1"/>
        <w:keepNext/>
        <w:keepLines/>
        <w:suppressAutoHyphens/>
        <w:spacing w:before="109"/>
        <w:ind w:left="0" w:firstLine="464"/>
        <w:rPr>
          <w:color w:val="111111"/>
        </w:rPr>
      </w:pPr>
      <w:r>
        <w:rPr>
          <w:noProof/>
          <w:color w:val="111111"/>
        </w:rPr>
        <w:t>MATÉRIAUX</w:t>
      </w:r>
      <w:r w:rsidR="002F4419">
        <w:rPr>
          <w:color w:val="111111"/>
        </w:rPr>
        <w:br/>
      </w:r>
    </w:p>
    <w:p w:rsidR="00420024" w:rsidP="008742C3" w:rsidRDefault="00420024" w14:paraId="39DB7440" w14:textId="5F7FF1FA">
      <w:pPr>
        <w:pStyle w:val="Kop1"/>
        <w:keepLines/>
        <w:widowControl/>
      </w:pPr>
      <w:r>
        <w:rPr>
          <w:noProof/>
          <w:color w:val="111111"/>
        </w:rPr>
        <w:t>Remplissage des joints</w:t>
      </w:r>
    </w:p>
    <w:p w:rsidR="00420024" w:rsidP="008742C3" w:rsidRDefault="00420024" w14:paraId="33079158" w14:textId="23605272">
      <w:pPr>
        <w:keepLines/>
        <w:widowControl/>
        <w:spacing w:before="5" w:line="264" w:lineRule="auto"/>
        <w:ind w:left="464" w:right="463"/>
        <w:rPr>
          <w:color w:val="111111"/>
          <w:sz w:val="16"/>
        </w:rPr>
      </w:pPr>
      <w:r>
        <w:rPr>
          <w:noProof/>
          <w:color w:val="111111"/>
          <w:sz w:val="16"/>
        </w:rPr>
        <w:t>Vande Moortel H2O Clay Paving Sand est un sable concassé naturellement pur, issu du processus de concassage de la roche naturelle. Sa forme naturelle est anguleuse et pointue, avec une quasi-absence de fines inférieures à 0,063 mm (NBN EN 933-1) et une granulométrie jusqu’à 2 mm. La couleur est gris foncé à anthracite.</w:t>
      </w:r>
    </w:p>
    <w:p w:rsidR="001179E1" w:rsidP="008742C3" w:rsidRDefault="001179E1" w14:paraId="4147AAB8" w14:textId="756D1D5F">
      <w:pPr>
        <w:keepLines/>
        <w:widowControl/>
        <w:spacing w:before="5" w:line="264" w:lineRule="auto"/>
        <w:ind w:left="464" w:right="463"/>
        <w:rPr>
          <w:color w:val="111111"/>
          <w:sz w:val="16"/>
        </w:rPr>
      </w:pPr>
    </w:p>
    <w:p w:rsidR="00080B53" w:rsidP="00080B53" w:rsidRDefault="00080B53" w14:paraId="0B7B8915" w14:textId="1306706D">
      <w:pPr>
        <w:keepNext/>
        <w:keepLines/>
        <w:widowControl/>
        <w:spacing w:before="5" w:line="264" w:lineRule="auto"/>
        <w:ind w:left="464" w:right="463"/>
        <w:rPr>
          <w:color w:val="111111"/>
          <w:sz w:val="16"/>
          <w:u w:val="single"/>
        </w:rPr>
      </w:pPr>
      <w:r>
        <w:rPr>
          <w:noProof/>
          <w:color w:val="111111"/>
          <w:sz w:val="16"/>
          <w:u w:val="single"/>
        </w:rPr>
        <w:t>Conditionnement et consommation H2O Clay Paving Sand</w:t>
      </w:r>
    </w:p>
    <w:p w:rsidR="007B685C" w:rsidP="001179E1" w:rsidRDefault="007B685C" w14:paraId="143B831B" w14:textId="77777777">
      <w:pPr>
        <w:keepLines/>
        <w:widowControl/>
        <w:spacing w:before="5" w:line="264" w:lineRule="auto"/>
        <w:ind w:left="464" w:right="463"/>
        <w:rPr>
          <w:color w:val="111111"/>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voegvulling"/>
      </w:tblPr>
      <w:tblGrid>
        <w:gridCol w:w="3965"/>
        <w:gridCol w:w="3965"/>
      </w:tblGrid>
      <w:tr>
        <w:tc>
          <w:p>
            <w:r>
              <w:rPr>
                <w:sz w:val="14"/>
                <w:rFonts w:ascii="Myriad Pro Light"/>
                <w:b/>
                <w:tcPr>
                  <w:vAlign w:val="center"/>
                </w:tcPr>
              </w:rPr>
              <w:t>Conditionnement</w:t>
            </w:r>
          </w:p>
        </w:tc>
        <w:tc>
          <w:p>
            <w:r>
              <w:rPr>
                <w:sz w:val="14"/>
                <w:rFonts w:ascii="Myriad Pro Light"/>
                <w:b/>
                <w:tcPr>
                  <w:vAlign w:val="center"/>
                </w:tcPr>
              </w:rPr>
              <w:t>Par sac de 25 kg</w:t>
            </w:r>
          </w:p>
        </w:tc>
      </w:tr>
      <w:tr>
        <w:tc>
          <w:p>
            <w:r>
              <w:rPr>
                <w:sz w:val="14"/>
                <w:rFonts w:ascii="Myriad Pro Light"/>
                <w:tcPr>
                  <w:vAlign w:val="center"/>
                </w:tcPr>
              </w:rPr>
              <w:t>Consommation</w:t>
            </w:r>
          </w:p>
        </w:tc>
        <w:tc>
          <w:p>
            <w:r>
              <w:rPr>
                <w:sz w:val="14"/>
                <w:rFonts w:ascii="Myriad Pro Light"/>
                <w:tcPr>
                  <w:vAlign w:val="center"/>
                </w:tcPr>
              </w:rPr>
              <w:t> </w:t>
            </w:r>
          </w:p>
        </w:tc>
      </w:tr>
      <w:tr>
        <w:tc>
          <w:p>
            <w:r>
              <w:rPr>
                <w:sz w:val="14"/>
                <w:rFonts w:ascii="Myriad Pro Light"/>
                <w:tcPr>
                  <w:vAlign w:val="center"/>
                </w:tcPr>
              </w:rPr>
              <w:t>SeptimA / Elegantia</w:t>
            </w:r>
          </w:p>
        </w:tc>
        <w:tc>
          <w:p>
            <w:r>
              <w:rPr>
                <w:sz w:val="14"/>
                <w:rFonts w:ascii="Myriad Pro Light"/>
                <w:tcPr>
                  <w:vAlign w:val="center"/>
                </w:tcPr>
              </w:rPr>
              <w:t>4,0 m² par 25 kg</w:t>
            </w:r>
          </w:p>
        </w:tc>
      </w:tr>
      <w:tr>
        <w:tc>
          <w:p>
            <w:r>
              <w:rPr>
                <w:sz w:val="14"/>
                <w:rFonts w:ascii="Myriad Pro Light"/>
                <w:tcPr>
                  <w:vAlign w:val="center"/>
                </w:tcPr>
              </w:rPr>
              <w:t>Ancienne Belgique</w:t>
            </w:r>
          </w:p>
        </w:tc>
        <w:tc>
          <w:p>
            <w:r>
              <w:rPr>
                <w:sz w:val="14"/>
                <w:rFonts w:ascii="Myriad Pro Light"/>
                <w:tcPr>
                  <w:vAlign w:val="center"/>
                </w:tcPr>
              </w:rPr>
              <w:t>3,0 m² par 25 kg</w:t>
            </w:r>
          </w:p>
        </w:tc>
      </w:tr>
      <w:tr>
        <w:tc>
          <w:p>
            <w:r>
              <w:rPr>
                <w:sz w:val="14"/>
                <w:rFonts w:ascii="Myriad Pro Light"/>
                <w:tcPr>
                  <w:vAlign w:val="center"/>
                </w:tcPr>
              </w:rPr>
              <w:t>DecimA WF / DF            </w:t>
            </w:r>
          </w:p>
        </w:tc>
        <w:tc>
          <w:p>
            <w:r>
              <w:rPr>
                <w:sz w:val="14"/>
                <w:rFonts w:ascii="Myriad Pro Light"/>
                <w:tcPr>
                  <w:vAlign w:val="center"/>
                </w:tcPr>
              </w:rPr>
              <w:t>2,5 m² par 25 kg</w:t>
            </w:r>
          </w:p>
        </w:tc>
      </w:tr>
    </w:tbl>
    <w:p w:rsidR="008E2D10" w:rsidP="00F7379B" w:rsidRDefault="00461C91" w14:paraId="00283F84" w14:textId="31193036">
      <w:pPr>
        <w:pStyle w:val="Kop1"/>
        <w:keepNext/>
        <w:keepLines/>
        <w:widowControl/>
        <w:rPr>
          <w:color w:val="111111"/>
        </w:rPr>
      </w:pPr>
      <w:r>
        <w:rPr>
          <w:color w:val="111111"/>
        </w:rPr>
        <w:lastRenderedPageBreak/>
        <w:br/>
      </w:r>
    </w:p>
    <w:p w:rsidR="00475ECB" w:rsidP="00F7379B" w:rsidRDefault="00475ECB" w14:paraId="370C7A1D" w14:textId="5333AAB2">
      <w:pPr>
        <w:pStyle w:val="Kop1"/>
        <w:keepNext/>
        <w:keepLines/>
        <w:widowControl/>
      </w:pPr>
      <w:r>
        <w:rPr>
          <w:noProof/>
          <w:color w:val="111111"/>
        </w:rPr>
        <w:t>Lit de pose</w:t>
      </w:r>
    </w:p>
    <w:p w:rsidR="00475ECB" w:rsidP="00F7379B" w:rsidRDefault="00475ECB" w14:paraId="74B56EA4" w14:textId="48AE5D33">
      <w:pPr>
        <w:keepNext/>
        <w:keepLines/>
        <w:widowControl/>
        <w:spacing w:before="5" w:line="264" w:lineRule="auto"/>
        <w:ind w:left="464" w:right="463"/>
        <w:rPr>
          <w:color w:val="111111"/>
          <w:sz w:val="16"/>
        </w:rPr>
      </w:pPr>
      <w:r>
        <w:rPr>
          <w:noProof/>
          <w:color w:val="111111"/>
          <w:sz w:val="16"/>
        </w:rPr>
        <w:t>Pour le lit de pose, il est recommandé d'utiliser le H2O Bedding Course de Vande Moortel. Ce sable concassé a une fraction 2/4 et la qualité nécessaire pour conserver un bonne perméabilité à l'eau dans le temps. Cela signifie que le coefficient de Los Angeles (LA - résistance à la fragmentation) ne doit pas dépasser 20, et que le coefficient Micro-Deval (MDE - résistance à l'usure) ne doit pas dépasser 15. </w:t>
      </w:r>
    </w:p>
    <w:p w:rsidR="001179E1" w:rsidP="00F7379B" w:rsidRDefault="001179E1" w14:paraId="643A5826" w14:textId="2D5495DA">
      <w:pPr>
        <w:keepNext/>
        <w:keepLines/>
        <w:widowControl/>
        <w:spacing w:before="5" w:line="264" w:lineRule="auto"/>
        <w:ind w:left="464" w:right="463"/>
        <w:rPr>
          <w:color w:val="111111"/>
          <w:sz w:val="16"/>
        </w:rPr>
      </w:pPr>
    </w:p>
    <w:p w:rsidR="001179E1" w:rsidP="001179E1" w:rsidRDefault="001179E1" w14:paraId="2105A330" w14:textId="4D3ACC82">
      <w:pPr>
        <w:keepNext/>
        <w:keepLines/>
        <w:widowControl/>
        <w:spacing w:before="5" w:line="264" w:lineRule="auto"/>
        <w:ind w:left="464" w:right="463"/>
        <w:rPr>
          <w:color w:val="111111"/>
          <w:sz w:val="16"/>
          <w:u w:val="single"/>
        </w:rPr>
      </w:pPr>
      <w:r w:rsidRPr="001179E1">
        <w:rPr>
          <w:noProof/>
          <w:color w:val="111111"/>
          <w:sz w:val="16"/>
          <w:u w:val="single"/>
        </w:rPr>
        <w:t>Conditionnement et consommation H2O Bedding Course</w:t>
      </w:r>
    </w:p>
    <w:p w:rsidRPr="001179E1" w:rsidR="007B685C" w:rsidP="001179E1" w:rsidRDefault="007B685C" w14:paraId="63C47A0E" w14:textId="77777777">
      <w:pPr>
        <w:keepNext/>
        <w:keepLines/>
        <w:widowControl/>
        <w:spacing w:before="5" w:line="264" w:lineRule="auto"/>
        <w:ind w:left="464" w:right="463"/>
        <w:rPr>
          <w:color w:val="111111"/>
          <w:sz w:val="16"/>
          <w:u w:val="single"/>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straatlaag"/>
      </w:tblPr>
      <w:tblGrid>
        <w:gridCol w:w="3965"/>
        <w:gridCol w:w="3965"/>
      </w:tblGrid>
      <w:tr>
        <w:tc>
          <w:p>
            <w:r>
              <w:rPr>
                <w:sz w:val="14"/>
                <w:rFonts w:ascii="Myriad Pro Light"/>
                <w:b/>
                <w:tcPr>
                  <w:vAlign w:val="center"/>
                </w:tcPr>
              </w:rPr>
              <w:t>Conditionnement</w:t>
            </w:r>
          </w:p>
        </w:tc>
        <w:tc>
          <w:p>
            <w:r>
              <w:rPr>
                <w:sz w:val="14"/>
                <w:rFonts w:ascii="Myriad Pro Light"/>
                <w:b/>
                <w:tcPr>
                  <w:vAlign w:val="center"/>
                </w:tcPr>
              </w:rPr>
              <w:t>Par sac de 40 kg</w:t>
            </w:r>
          </w:p>
        </w:tc>
      </w:tr>
      <w:tr>
        <w:tc>
          <w:p>
            <w:r>
              <w:rPr>
                <w:sz w:val="14"/>
                <w:rFonts w:ascii="Myriad Pro Light"/>
                <w:tcPr>
                  <w:vAlign w:val="center"/>
                </w:tcPr>
              </w:rPr>
              <w:t>Consommation (épaisseur 3 cm après compactage)</w:t>
            </w:r>
          </w:p>
        </w:tc>
        <w:tc>
          <w:p>
            <w:r>
              <w:rPr>
                <w:sz w:val="14"/>
                <w:rFonts w:ascii="Myriad Pro Light"/>
                <w:tcPr>
                  <w:vAlign w:val="center"/>
                </w:tcPr>
              </w:rPr>
              <w:t>Env. 0,85 m² par 40 kg</w:t>
            </w:r>
          </w:p>
        </w:tc>
      </w:tr>
    </w:tbl>
    <w:p w:rsidR="00475ECB" w:rsidP="00F7379B" w:rsidRDefault="00461C91" w14:paraId="506DF656" w14:textId="2E5B5612">
      <w:pPr>
        <w:keepNext/>
        <w:keepLines/>
        <w:widowControl/>
        <w:spacing w:before="5" w:line="264" w:lineRule="auto"/>
        <w:ind w:right="463"/>
        <w:rPr>
          <w:color w:val="111111"/>
          <w:sz w:val="16"/>
        </w:rPr>
      </w:pPr>
      <w:r>
        <w:rPr>
          <w:color w:val="111111"/>
          <w:sz w:val="16"/>
        </w:rPr>
        <w:br/>
      </w:r>
    </w:p>
    <w:p w:rsidR="00420024" w:rsidP="00F7379B" w:rsidRDefault="00420024" w14:paraId="01E44E98" w14:textId="13A1EE1A">
      <w:pPr>
        <w:pStyle w:val="Kop1"/>
        <w:keepNext/>
        <w:keepLines/>
        <w:widowControl/>
        <w:ind w:left="465"/>
      </w:pPr>
      <w:r>
        <w:rPr>
          <w:noProof/>
          <w:color w:val="111111"/>
        </w:rPr>
        <w:t>Fondation drainante en empierrements</w:t>
      </w:r>
    </w:p>
    <w:p w:rsidR="00420024" w:rsidP="00F7379B" w:rsidRDefault="00486244" w14:paraId="2EA7C588" w14:textId="237ACE78">
      <w:pPr>
        <w:keepNext/>
        <w:keepLines/>
        <w:widowControl/>
        <w:spacing w:before="5" w:line="264" w:lineRule="auto"/>
        <w:ind w:left="465" w:right="463"/>
        <w:rPr>
          <w:color w:val="111111"/>
          <w:sz w:val="16"/>
        </w:rPr>
      </w:pPr>
      <w:r>
        <w:rPr>
          <w:noProof/>
          <w:color w:val="111111"/>
          <w:sz w:val="16"/>
        </w:rPr>
        <w:t>Pour les zones à forte intensité de trafic, une fondation drainante en béton maigre est la plus adaptée. Pour toutes les autres applications, on peut utiliser une fondation non liée en empierrements, de préférence continue et perméable à l'eau, ayant une capacité portante suffisante. </w:t>
        <w:br/>
        <w:t>En Flandre : selon SB250 version 4.1.a. chapitre 5-4.13 et chapitre 3-7.1.2.15</w:t>
        <w:br/>
        <w:t>A Bruxelles : selon le CCT2015, chapitre E.4.2</w:t>
        <w:br/>
        <w:t>En Wallonie : selon Qualiroutes 20 juillet 2021, chapitre F.4.2.1 (moyennant limitation de la teneur en fines) ou selon le chapitre F.4.2.1.4.</w:t>
      </w:r>
      <w:r w:rsidR="00461C91">
        <w:rPr>
          <w:color w:val="111111"/>
          <w:sz w:val="16"/>
        </w:rPr>
        <w:br/>
      </w:r>
    </w:p>
    <w:p w:rsidR="00420024" w:rsidP="00F7379B" w:rsidRDefault="00A7202C" w14:paraId="2989DB2A" w14:textId="443D9036">
      <w:pPr>
        <w:pStyle w:val="Kop1"/>
        <w:keepNext/>
        <w:keepLines/>
        <w:widowControl/>
        <w:ind w:left="465"/>
      </w:pPr>
      <w:r>
        <w:rPr>
          <w:noProof/>
          <w:color w:val="111111"/>
        </w:rPr>
        <w:t>Complément pour usage de béton maigre drainant </w:t>
      </w:r>
    </w:p>
    <w:p w:rsidR="00420024" w:rsidP="00F7379B" w:rsidRDefault="00A7202C" w14:paraId="28A99EF8" w14:textId="394F89B7">
      <w:pPr>
        <w:keepNext/>
        <w:keepLines/>
        <w:widowControl/>
        <w:spacing w:before="5" w:line="264" w:lineRule="auto"/>
        <w:ind w:left="465" w:right="463"/>
        <w:rPr>
          <w:color w:val="111111"/>
          <w:sz w:val="16"/>
        </w:rPr>
      </w:pPr>
      <w:r>
        <w:rPr>
          <w:noProof/>
          <w:color w:val="111111"/>
          <w:sz w:val="16"/>
        </w:rPr>
        <w:t>Dans le cas d'une fondation en béton maigre drainant,  l'avis du CRR (note 04/05/06 2022) prévoit un géotextile selon PTV 829 pour empêcher l'infiltration de particules fines venant du lit de pose. </w:t>
        <w:br/>
        <w:t>En Flandre : selon le SB250 version 4.1.a, chapitre 5-4.10</w:t>
        <w:br/>
        <w:t>A Bruxelles : selon le CCT2015, chapitre E.4.5</w:t>
        <w:br/>
        <w:t>En Wallonie : selon Qualiroutes 20 juillet 2021, chapitre F. 4.6</w:t>
      </w:r>
      <w:r w:rsidR="00461C91">
        <w:rPr>
          <w:color w:val="111111"/>
          <w:sz w:val="16"/>
        </w:rPr>
        <w:br/>
      </w:r>
    </w:p>
    <w:p w:rsidR="00A6253F" w:rsidP="00F7379B" w:rsidRDefault="00705467" w14:paraId="501FAD92" w14:textId="6A43D092">
      <w:pPr>
        <w:pStyle w:val="Kop1"/>
        <w:keepNext/>
        <w:keepLines/>
        <w:widowControl/>
        <w:ind w:left="465"/>
      </w:pPr>
      <w:r>
        <w:rPr>
          <w:noProof/>
          <w:color w:val="111111"/>
        </w:rPr>
        <w:t>Sous-fondation drainante en empierrements</w:t>
      </w:r>
    </w:p>
    <w:p w:rsidR="00A6253F" w:rsidP="00F7379B" w:rsidRDefault="00705467" w14:paraId="42B5B64E" w14:textId="3B630D31">
      <w:pPr>
        <w:keepNext/>
        <w:keepLines/>
        <w:widowControl/>
        <w:spacing w:before="5" w:line="264" w:lineRule="auto"/>
        <w:ind w:left="465" w:right="463"/>
        <w:rPr>
          <w:color w:val="111111"/>
          <w:sz w:val="16"/>
        </w:rPr>
      </w:pPr>
      <w:r>
        <w:rPr>
          <w:noProof/>
          <w:color w:val="111111"/>
          <w:sz w:val="16"/>
        </w:rPr>
        <w:t>Il est recommandé d'utiliser les mêmes matériaux que pour la fondation en empierrements. Les déchets mixtes ou les déchets de maçonnerie ne sont donc pas recommandés. </w:t>
      </w:r>
      <w:r w:rsidR="00461C91">
        <w:rPr>
          <w:color w:val="111111"/>
          <w:sz w:val="16"/>
        </w:rPr>
        <w:br/>
      </w:r>
    </w:p>
    <w:p w:rsidR="00420024" w:rsidP="00F7379B" w:rsidRDefault="00420024" w14:paraId="3183A4BB" w14:textId="1FC92B9E">
      <w:pPr>
        <w:pStyle w:val="Kop1"/>
        <w:keepNext/>
        <w:keepLines/>
        <w:widowControl/>
        <w:ind w:left="465"/>
      </w:pPr>
      <w:r>
        <w:rPr>
          <w:noProof/>
          <w:color w:val="111111"/>
        </w:rPr>
        <w:t>Géotetextile - Géogrille</w:t>
      </w:r>
    </w:p>
    <w:p w:rsidR="00420024" w:rsidP="00F7379B" w:rsidRDefault="00420024" w14:paraId="22536863" w14:textId="61FDF73A">
      <w:pPr>
        <w:keepNext/>
        <w:keepLines/>
        <w:widowControl/>
        <w:spacing w:before="5" w:line="264" w:lineRule="auto"/>
        <w:ind w:left="465" w:right="463"/>
        <w:rPr>
          <w:color w:val="111111"/>
          <w:sz w:val="16"/>
        </w:rPr>
      </w:pPr>
      <w:r>
        <w:rPr>
          <w:noProof/>
          <w:color w:val="111111"/>
          <w:sz w:val="16"/>
        </w:rPr>
        <w:t>En outre, un géotextile et une géogrille peuvent être posés sous la sous-fondation pour améliorer la capacité portante en cas de sous-sol saturé. </w:t>
      </w:r>
      <w:r w:rsidR="00461C91">
        <w:rPr>
          <w:color w:val="111111"/>
          <w:sz w:val="16"/>
        </w:rPr>
        <w:br/>
      </w:r>
    </w:p>
    <w:p w:rsidR="00420024" w:rsidP="00F7379B" w:rsidRDefault="00420024" w14:paraId="63EC144F" w14:textId="7158E889">
      <w:pPr>
        <w:pStyle w:val="Kop1"/>
        <w:keepNext/>
        <w:keepLines/>
        <w:widowControl/>
        <w:ind w:left="465"/>
      </w:pPr>
      <w:r>
        <w:rPr>
          <w:noProof/>
          <w:color w:val="111111"/>
        </w:rPr>
        <w:t>ENTRETIEN</w:t>
      </w:r>
    </w:p>
    <w:p w:rsidRPr="00E706A0" w:rsidR="00E47813" w:rsidP="00E706A0" w:rsidRDefault="00420024" w14:paraId="3B8EEFE5" w14:textId="251242FA">
      <w:pPr>
        <w:keepNext/>
        <w:keepLines/>
        <w:widowControl/>
        <w:spacing w:before="5" w:line="264" w:lineRule="auto"/>
        <w:ind w:left="465" w:right="463"/>
        <w:rPr>
          <w:color w:val="111111"/>
          <w:sz w:val="16"/>
        </w:rPr>
      </w:pPr>
      <w:r>
        <w:rPr>
          <w:noProof/>
          <w:color w:val="111111"/>
          <w:sz w:val="16"/>
        </w:rPr>
        <w:t>Les pavés en terre cuite perméables nécessitent peu d'entretien. Le nettoyage peut se faire avec un nettoyeur haute pression. Le matériau de jointoiement qui se détache par usure est retiré du pavage. Le remplissage des joints doit être vérifié après le nettoyage et réparé si nécessaire.</w:t>
      </w:r>
      <w:r w:rsidR="00883ED0">
        <w:rPr>
          <w:color w:val="111111"/>
          <w:sz w:val="16"/>
        </w:rPr>
        <w:br/>
      </w:r>
    </w:p>
    <w:sectPr w:rsidRPr="00E706A0"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95B2C" w14:textId="77777777" w:rsidR="00860CC9" w:rsidRDefault="00860CC9">
      <w:r>
        <w:separator/>
      </w:r>
    </w:p>
  </w:endnote>
  <w:endnote w:type="continuationSeparator" w:id="0">
    <w:p w14:paraId="04524539" w14:textId="77777777" w:rsidR="00860CC9" w:rsidRDefault="00860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338A4" w14:textId="77777777" w:rsidR="00860CC9" w:rsidRDefault="00860CC9">
      <w:r>
        <w:separator/>
      </w:r>
    </w:p>
  </w:footnote>
  <w:footnote w:type="continuationSeparator" w:id="0">
    <w:p w14:paraId="4875369C" w14:textId="77777777" w:rsidR="00860CC9" w:rsidRDefault="00860CC9">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77BCFF23" wp14:anchorId="23F544CF">
              <wp:simplePos x="0" y="0"/>
              <wp:positionH relativeFrom="margin">
                <wp:align>left</wp:align>
              </wp:positionH>
              <wp:positionV relativeFrom="topMargin">
                <wp:posOffset>533400</wp:posOffset>
              </wp:positionV>
              <wp:extent cx="6337190" cy="409575"/>
              <wp:effectExtent l="0" t="0" r="6985"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19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Pavé en terre cuite perméable Grisage</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499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Fiche technique / Texte du cahier des charges</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20-03-2026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PAVES EN TERRE CUITE</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45660"/>
    <w:rsid w:val="00070040"/>
    <w:rsid w:val="00080B53"/>
    <w:rsid w:val="00081B78"/>
    <w:rsid w:val="00094E90"/>
    <w:rsid w:val="000A3209"/>
    <w:rsid w:val="000A4735"/>
    <w:rsid w:val="000F16A4"/>
    <w:rsid w:val="000F44FD"/>
    <w:rsid w:val="00105B4B"/>
    <w:rsid w:val="001179E1"/>
    <w:rsid w:val="001276A2"/>
    <w:rsid w:val="00135D9D"/>
    <w:rsid w:val="00147835"/>
    <w:rsid w:val="0018071E"/>
    <w:rsid w:val="001816F2"/>
    <w:rsid w:val="001A2F86"/>
    <w:rsid w:val="001A3D37"/>
    <w:rsid w:val="001C7ACE"/>
    <w:rsid w:val="001E77DB"/>
    <w:rsid w:val="00216B29"/>
    <w:rsid w:val="002421F5"/>
    <w:rsid w:val="002944E0"/>
    <w:rsid w:val="002953CC"/>
    <w:rsid w:val="002A25BD"/>
    <w:rsid w:val="002F4419"/>
    <w:rsid w:val="00313819"/>
    <w:rsid w:val="00317270"/>
    <w:rsid w:val="00336643"/>
    <w:rsid w:val="00341ECC"/>
    <w:rsid w:val="003517E3"/>
    <w:rsid w:val="00362EC5"/>
    <w:rsid w:val="003C3120"/>
    <w:rsid w:val="00420024"/>
    <w:rsid w:val="004441F8"/>
    <w:rsid w:val="00461C91"/>
    <w:rsid w:val="00475ECB"/>
    <w:rsid w:val="00480478"/>
    <w:rsid w:val="00486244"/>
    <w:rsid w:val="004A7C85"/>
    <w:rsid w:val="004B5E29"/>
    <w:rsid w:val="004B711E"/>
    <w:rsid w:val="004D336A"/>
    <w:rsid w:val="004D54FD"/>
    <w:rsid w:val="00526915"/>
    <w:rsid w:val="0054271E"/>
    <w:rsid w:val="00580020"/>
    <w:rsid w:val="005A7731"/>
    <w:rsid w:val="005C795D"/>
    <w:rsid w:val="0060150F"/>
    <w:rsid w:val="00635874"/>
    <w:rsid w:val="00636CAE"/>
    <w:rsid w:val="006E18FD"/>
    <w:rsid w:val="006F3F38"/>
    <w:rsid w:val="00705467"/>
    <w:rsid w:val="007121DF"/>
    <w:rsid w:val="007379A2"/>
    <w:rsid w:val="007524F2"/>
    <w:rsid w:val="00757C3A"/>
    <w:rsid w:val="0076115E"/>
    <w:rsid w:val="00790A39"/>
    <w:rsid w:val="007A210D"/>
    <w:rsid w:val="007B00E0"/>
    <w:rsid w:val="007B685C"/>
    <w:rsid w:val="00802BF1"/>
    <w:rsid w:val="00830C6E"/>
    <w:rsid w:val="00841392"/>
    <w:rsid w:val="008420BA"/>
    <w:rsid w:val="00852C38"/>
    <w:rsid w:val="00860CC9"/>
    <w:rsid w:val="008742C3"/>
    <w:rsid w:val="00874D11"/>
    <w:rsid w:val="00883ED0"/>
    <w:rsid w:val="008E2D10"/>
    <w:rsid w:val="00901CEA"/>
    <w:rsid w:val="009234F2"/>
    <w:rsid w:val="00976968"/>
    <w:rsid w:val="00997C56"/>
    <w:rsid w:val="009C0454"/>
    <w:rsid w:val="009C408A"/>
    <w:rsid w:val="009E1DB8"/>
    <w:rsid w:val="00A063E3"/>
    <w:rsid w:val="00A13410"/>
    <w:rsid w:val="00A6253F"/>
    <w:rsid w:val="00A62A4B"/>
    <w:rsid w:val="00A7202C"/>
    <w:rsid w:val="00A73FF7"/>
    <w:rsid w:val="00A86725"/>
    <w:rsid w:val="00A91F7F"/>
    <w:rsid w:val="00AB0371"/>
    <w:rsid w:val="00AB0431"/>
    <w:rsid w:val="00AF4206"/>
    <w:rsid w:val="00B00E42"/>
    <w:rsid w:val="00B51BB2"/>
    <w:rsid w:val="00BC278A"/>
    <w:rsid w:val="00BD65C1"/>
    <w:rsid w:val="00BF6A5C"/>
    <w:rsid w:val="00C15B47"/>
    <w:rsid w:val="00C2437A"/>
    <w:rsid w:val="00C32AE0"/>
    <w:rsid w:val="00C47556"/>
    <w:rsid w:val="00C743F5"/>
    <w:rsid w:val="00CB12BA"/>
    <w:rsid w:val="00CC61EF"/>
    <w:rsid w:val="00CC6DC2"/>
    <w:rsid w:val="00CE510D"/>
    <w:rsid w:val="00CE59AE"/>
    <w:rsid w:val="00D011FD"/>
    <w:rsid w:val="00D117BE"/>
    <w:rsid w:val="00D32D82"/>
    <w:rsid w:val="00D45DBC"/>
    <w:rsid w:val="00D5399D"/>
    <w:rsid w:val="00D57EF7"/>
    <w:rsid w:val="00D8032D"/>
    <w:rsid w:val="00DB308D"/>
    <w:rsid w:val="00DB7D49"/>
    <w:rsid w:val="00E115B0"/>
    <w:rsid w:val="00E12FFF"/>
    <w:rsid w:val="00E26792"/>
    <w:rsid w:val="00E47813"/>
    <w:rsid w:val="00E706A0"/>
    <w:rsid w:val="00E7220F"/>
    <w:rsid w:val="00EB6C33"/>
    <w:rsid w:val="00F05FF2"/>
    <w:rsid w:val="00F25199"/>
    <w:rsid w:val="00F30B48"/>
    <w:rsid w:val="00F60856"/>
    <w:rsid w:val="00F7379B"/>
    <w:rsid w:val="00F905DA"/>
    <w:rsid w:val="00F91907"/>
    <w:rsid w:val="00F95704"/>
    <w:rsid w:val="00F96669"/>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0B53"/>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385</Words>
  <Characters>2122</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73</cp:revision>
  <dcterms:created xsi:type="dcterms:W3CDTF">2021-10-25T08:12:00Z</dcterms:created>
  <dcterms:modified xsi:type="dcterms:W3CDTF">2022-12-06T11:37:00Z</dcterms:modified>
</cp:coreProperties>
</file>