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Nuancée rouge-brun-noir</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*210x50x103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Dimensions de fabrication (L xlxh)</w:t>
            </w:r>
          </w:p>
        </w:tc>
        <w:tc>
          <w:p>
            <w:r>
              <w:rPr>
                <w:sz w:val="14"/>
                <w:rFonts w:ascii="Myriad Pro Light"/>
                <w:tcPr>
                  <w:vAlign w:val="center"/>
                </w:tcPr>
              </w:rPr>
              <w:t>*210x67x103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68</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Carctéristiques</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d’eauNBN EN 771</w:t>
            </w:r>
          </w:p>
        </w:tc>
        <w:tc>
          <w:p>
            <w:r>
              <w:rPr>
                <w:sz w:val="14"/>
                <w:rFonts w:ascii="Myriad Pro Light"/>
                <w:tcPr>
                  <w:vAlign w:val="center"/>
                </w:tcPr>
              </w:rPr>
              <w:t>Classe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Tolérances dimensionnelles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&lt;7%</w:t>
            </w:r>
          </w:p>
        </w:tc>
        <w:tc>
          <w:p>
            <w:r>
              <w:rPr>
                <w:sz w:val="14"/>
                <w:rFonts w:ascii="Myriad Pro Light"/>
                <w:tcPr>
                  <w:vAlign w:val="center"/>
                </w:tcPr>
              </w:rPr>
              <w:t> </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DecimA Melange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