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Gris foncé</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La brique est cuite pour une deuxième fois sous une atmosphère réduite.</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Max.0,4 √d</w:t>
            </w:r>
          </w:p>
        </w:tc>
        <w:tc>
          <w:p>
            <w:r>
              <w:rPr>
                <w:sz w:val="14"/>
                <w:rFonts w:ascii="Myriad Pro Light"/>
                <w:tcPr>
                  <w:vAlign w:val="center"/>
                </w:tcPr>
              </w:rPr>
              <w:t>Max.0,6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Taupe </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